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17A" w:rsidRPr="00E90E5A" w:rsidRDefault="0054117A" w:rsidP="00D54D48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18"/>
          <w:szCs w:val="18"/>
        </w:rPr>
      </w:pP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Załącznik  nr </w:t>
      </w:r>
      <w:r w:rsidR="00B77ACC" w:rsidRPr="00E90E5A">
        <w:rPr>
          <w:rFonts w:asciiTheme="minorHAnsi" w:eastAsia="Times New Roman" w:hAnsiTheme="minorHAnsi" w:cs="Times New Roman"/>
          <w:b/>
          <w:sz w:val="18"/>
          <w:szCs w:val="18"/>
        </w:rPr>
        <w:t>5</w:t>
      </w:r>
      <w:r w:rsidR="00E90E5A"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 do Regulaminu K</w:t>
      </w: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>onkursu</w:t>
      </w:r>
    </w:p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bookmarkStart w:id="0" w:name="_GoBack"/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1F2A7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</w:t>
            </w:r>
            <w:r w:rsidR="001F2A70">
              <w:rPr>
                <w:rFonts w:eastAsia="Calibri Light"/>
              </w:rPr>
              <w:t xml:space="preserve"> (w tym pliku dot. planowanych wydatków oraz analizy finansowej</w:t>
            </w:r>
            <w:r w:rsidR="00C958E8">
              <w:rPr>
                <w:rFonts w:eastAsia="Calibri Light"/>
              </w:rPr>
              <w:t xml:space="preserve"> - jeśli opatrzone zostały sumą kontrolną</w:t>
            </w:r>
            <w:r w:rsidR="001F2A70">
              <w:rPr>
                <w:rFonts w:eastAsia="Calibri Light"/>
              </w:rPr>
              <w:t>)</w:t>
            </w:r>
            <w:r w:rsidR="00832BC5" w:rsidRPr="00530EE0">
              <w:rPr>
                <w:rFonts w:eastAsia="Calibri Light"/>
              </w:rPr>
              <w:t xml:space="preserve">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  <w:bookmarkEnd w:id="0"/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06390B" w:rsidRPr="00530EE0" w:rsidRDefault="008D3903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06390B" w:rsidRPr="00530EE0" w:rsidTr="00251685">
        <w:tc>
          <w:tcPr>
            <w:tcW w:w="714" w:type="dxa"/>
            <w:vAlign w:val="center"/>
          </w:tcPr>
          <w:p w:rsidR="0006390B" w:rsidRPr="00530EE0" w:rsidRDefault="0006390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06390B" w:rsidRPr="00530EE0" w:rsidRDefault="0006390B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</w:t>
            </w:r>
            <w:r w:rsidR="00BB501E">
              <w:rPr>
                <w:rFonts w:asciiTheme="minorHAnsi" w:eastAsia="Calibri Light" w:hAnsiTheme="minorHAnsi"/>
              </w:rPr>
              <w:t xml:space="preserve"> i/lub wynikających z wezwania IOK, do uzupełnienia przez wnioskodawcę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06390B" w:rsidRPr="00530EE0" w:rsidRDefault="0006390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06390B" w:rsidRPr="00530EE0" w:rsidRDefault="0006390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5143D7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 xml:space="preserve">w wersji </w:t>
            </w:r>
            <w:r w:rsidR="00530EE0" w:rsidRPr="00530EE0">
              <w:rPr>
                <w:rFonts w:asciiTheme="minorHAnsi" w:eastAsia="Calibri Light" w:hAnsiTheme="minorHAnsi"/>
              </w:rPr>
              <w:lastRenderedPageBreak/>
              <w:t>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20007B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</w:t>
            </w:r>
            <w:r w:rsidR="005143D7">
              <w:rPr>
                <w:rFonts w:asciiTheme="minorHAnsi" w:eastAsia="Calibri Light" w:hAnsiTheme="minorHAnsi"/>
              </w:rPr>
              <w:t xml:space="preserve">elektroniczne </w:t>
            </w:r>
            <w:r w:rsidRPr="00251685">
              <w:rPr>
                <w:rFonts w:asciiTheme="minorHAnsi" w:eastAsia="Calibri Light" w:hAnsiTheme="minorHAnsi"/>
              </w:rPr>
              <w:t>kopie dokumentów dołączonych do wniosku są potwierdzone za zgodność z oryginałem (przez osobę upoważnioną) zgodnie z wymogami konkursu?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BA17AF">
      <w:footerReference w:type="default" r:id="rId8"/>
      <w:headerReference w:type="first" r:id="rId9"/>
      <w:footerReference w:type="first" r:id="rId10"/>
      <w:pgSz w:w="11900" w:h="16840"/>
      <w:pgMar w:top="1418" w:right="1300" w:bottom="851" w:left="1400" w:header="283" w:footer="0" w:gutter="0"/>
      <w:cols w:space="0" w:equalWidth="0">
        <w:col w:w="9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C7" w:rsidRDefault="00921FC7" w:rsidP="006D1F58">
      <w:r>
        <w:separator/>
      </w:r>
    </w:p>
  </w:endnote>
  <w:endnote w:type="continuationSeparator" w:id="0">
    <w:p w:rsidR="00921FC7" w:rsidRDefault="00921FC7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1148"/>
      <w:docPartObj>
        <w:docPartGallery w:val="Page Numbers (Bottom of Page)"/>
        <w:docPartUnique/>
      </w:docPartObj>
    </w:sdtPr>
    <w:sdtEndPr/>
    <w:sdtContent>
      <w:p w:rsidR="00E90E5A" w:rsidRDefault="00E90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E8">
          <w:rPr>
            <w:noProof/>
          </w:rPr>
          <w:t>2</w:t>
        </w:r>
        <w:r>
          <w:fldChar w:fldCharType="end"/>
        </w:r>
      </w:p>
    </w:sdtContent>
  </w:sdt>
  <w:p w:rsidR="00E90E5A" w:rsidRDefault="00E90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>
    <w:pPr>
      <w:pStyle w:val="Stopka"/>
      <w:jc w:val="right"/>
    </w:pPr>
  </w:p>
  <w:p w:rsidR="00F321AC" w:rsidRPr="00C41932" w:rsidRDefault="00C958E8" w:rsidP="00F321AC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F321AC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0679A9B9" wp14:editId="0470C58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1AC" w:rsidRDefault="00F321AC" w:rsidP="00F321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F321AC" w:rsidRDefault="00F321AC" w:rsidP="00F321AC">
    <w:pPr>
      <w:pStyle w:val="Stopka"/>
      <w:jc w:val="right"/>
    </w:pPr>
    <w:r>
      <w:tab/>
    </w:r>
    <w:sdt>
      <w:sdtPr>
        <w:id w:val="-1835606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958E8">
          <w:rPr>
            <w:noProof/>
          </w:rPr>
          <w:t>1</w:t>
        </w:r>
        <w:r>
          <w:fldChar w:fldCharType="end"/>
        </w:r>
      </w:sdtContent>
    </w:sdt>
  </w:p>
  <w:p w:rsidR="00F321AC" w:rsidRDefault="00F321AC" w:rsidP="00F321AC">
    <w:pPr>
      <w:pStyle w:val="Stopka"/>
      <w:tabs>
        <w:tab w:val="clear" w:pos="4536"/>
        <w:tab w:val="clear" w:pos="9072"/>
        <w:tab w:val="left" w:pos="7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C7" w:rsidRDefault="00921FC7" w:rsidP="006D1F58">
      <w:r>
        <w:separator/>
      </w:r>
    </w:p>
  </w:footnote>
  <w:footnote w:type="continuationSeparator" w:id="0">
    <w:p w:rsidR="00921FC7" w:rsidRDefault="00921FC7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 w:rsidP="00F321AC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05E184D6" wp14:editId="37B1B12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F321AC" w:rsidRPr="005F5249" w:rsidRDefault="00F321AC" w:rsidP="00F321AC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F321AC" w:rsidRDefault="00C958E8" w:rsidP="00F321AC">
    <w:pPr>
      <w:pStyle w:val="Stopka"/>
      <w:jc w:val="right"/>
      <w:rPr>
        <w:sz w:val="16"/>
        <w:szCs w:val="16"/>
      </w:rPr>
    </w:pPr>
    <w:hyperlink r:id="rId2" w:history="1">
      <w:r w:rsidR="00F321AC" w:rsidRPr="00120363">
        <w:rPr>
          <w:rStyle w:val="Hipercze"/>
        </w:rPr>
        <w:t>sekretariat@dip.dolnyslask.pl</w:t>
      </w:r>
    </w:hyperlink>
    <w:r w:rsidR="00F321AC" w:rsidRPr="00120363">
      <w:rPr>
        <w:sz w:val="16"/>
        <w:szCs w:val="16"/>
      </w:rPr>
      <w:t xml:space="preserve">, </w:t>
    </w:r>
    <w:hyperlink r:id="rId3" w:history="1">
      <w:r w:rsidR="00F321AC" w:rsidRPr="009D450E">
        <w:rPr>
          <w:rStyle w:val="Hipercze"/>
        </w:rPr>
        <w:t>www.dip.dolnyslask.pl</w:t>
      </w:r>
    </w:hyperlink>
  </w:p>
  <w:p w:rsidR="00F321AC" w:rsidRDefault="00F32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287E"/>
    <w:rsid w:val="0006390B"/>
    <w:rsid w:val="000B1FD7"/>
    <w:rsid w:val="001249C4"/>
    <w:rsid w:val="001352CD"/>
    <w:rsid w:val="00190CF3"/>
    <w:rsid w:val="001D33C6"/>
    <w:rsid w:val="001E4ACF"/>
    <w:rsid w:val="001E6038"/>
    <w:rsid w:val="001F2788"/>
    <w:rsid w:val="001F2A70"/>
    <w:rsid w:val="0020007B"/>
    <w:rsid w:val="00251685"/>
    <w:rsid w:val="002931B1"/>
    <w:rsid w:val="002C32A0"/>
    <w:rsid w:val="002D41F3"/>
    <w:rsid w:val="002F1C4B"/>
    <w:rsid w:val="00331D17"/>
    <w:rsid w:val="003465C7"/>
    <w:rsid w:val="0035243E"/>
    <w:rsid w:val="0046648C"/>
    <w:rsid w:val="004B0A0E"/>
    <w:rsid w:val="004E44AD"/>
    <w:rsid w:val="005050E0"/>
    <w:rsid w:val="005143D7"/>
    <w:rsid w:val="00530EE0"/>
    <w:rsid w:val="00533C1C"/>
    <w:rsid w:val="0054117A"/>
    <w:rsid w:val="00577776"/>
    <w:rsid w:val="00593553"/>
    <w:rsid w:val="005A368A"/>
    <w:rsid w:val="0060194A"/>
    <w:rsid w:val="006D1F58"/>
    <w:rsid w:val="00734151"/>
    <w:rsid w:val="008136AE"/>
    <w:rsid w:val="00825A7C"/>
    <w:rsid w:val="00832BC5"/>
    <w:rsid w:val="008653E4"/>
    <w:rsid w:val="00896978"/>
    <w:rsid w:val="00897206"/>
    <w:rsid w:val="008D3903"/>
    <w:rsid w:val="008E060A"/>
    <w:rsid w:val="00921FC7"/>
    <w:rsid w:val="009256DE"/>
    <w:rsid w:val="009420BB"/>
    <w:rsid w:val="00945179"/>
    <w:rsid w:val="00946A71"/>
    <w:rsid w:val="009873D6"/>
    <w:rsid w:val="00A172FC"/>
    <w:rsid w:val="00A61CD8"/>
    <w:rsid w:val="00AC30DD"/>
    <w:rsid w:val="00AD1490"/>
    <w:rsid w:val="00B77ACC"/>
    <w:rsid w:val="00BA17AF"/>
    <w:rsid w:val="00BB501E"/>
    <w:rsid w:val="00BF00A9"/>
    <w:rsid w:val="00C23E72"/>
    <w:rsid w:val="00C958E8"/>
    <w:rsid w:val="00CA7BA3"/>
    <w:rsid w:val="00D50953"/>
    <w:rsid w:val="00D54D48"/>
    <w:rsid w:val="00DE7491"/>
    <w:rsid w:val="00DF13D5"/>
    <w:rsid w:val="00E517AF"/>
    <w:rsid w:val="00E90E5A"/>
    <w:rsid w:val="00EE5A82"/>
    <w:rsid w:val="00F303E4"/>
    <w:rsid w:val="00F321AC"/>
    <w:rsid w:val="00F60AEB"/>
    <w:rsid w:val="00F65F90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8021A1FD-B4A3-4B4C-8A00-9E3EDA7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2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356A-7B18-4E65-8DDC-675FED37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Joanna Knap</cp:lastModifiedBy>
  <cp:revision>7</cp:revision>
  <cp:lastPrinted>2018-02-12T11:43:00Z</cp:lastPrinted>
  <dcterms:created xsi:type="dcterms:W3CDTF">2018-02-06T12:40:00Z</dcterms:created>
  <dcterms:modified xsi:type="dcterms:W3CDTF">2019-02-08T10:59:00Z</dcterms:modified>
</cp:coreProperties>
</file>