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9F303C" w:rsidRDefault="00B71741" w:rsidP="005172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277C45">
        <w:rPr>
          <w:rFonts w:cs="Arial"/>
          <w:sz w:val="20"/>
          <w:szCs w:val="20"/>
          <w:lang w:eastAsia="en-US"/>
        </w:rPr>
        <w:t xml:space="preserve"> </w:t>
      </w:r>
      <w:r w:rsidR="00E00F4C">
        <w:rPr>
          <w:rFonts w:cs="Arial"/>
          <w:sz w:val="20"/>
          <w:szCs w:val="20"/>
          <w:lang w:eastAsia="en-US"/>
        </w:rPr>
        <w:t>27 sierpień 2020 r.</w:t>
      </w:r>
      <w:bookmarkStart w:id="0" w:name="_GoBack"/>
      <w:bookmarkEnd w:id="0"/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ListParagraph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FootnoteReference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lastRenderedPageBreak/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FootnoteReference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FootnoteReference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9"/>
        <w:gridCol w:w="6563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Internacjonalizacja przedsiębiorstw – projekty, których celem jest </w:t>
            </w:r>
            <w:r w:rsidRPr="00DD0783">
              <w:lastRenderedPageBreak/>
              <w:t>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FootnoteReference"/>
              </w:rPr>
              <w:footnoteReference w:id="5"/>
            </w:r>
            <w:r w:rsidRPr="00DD0783">
              <w:t>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</w:r>
            <w:r w:rsidRPr="00DD0783">
              <w:lastRenderedPageBreak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</w:t>
            </w:r>
            <w:r w:rsidR="00A2094C" w:rsidRPr="00DD0783">
              <w:lastRenderedPageBreak/>
              <w:t xml:space="preserve">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FootnoteReference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ListParagraph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 xml:space="preserve">mogą być uwzględniane tylko te ww. osoby, które w co najmniej 25% czasu w danym okresie rozliczeniowym wykonują zadania kwalifikowalne w ramach projektu; wówczas za kwalifikowalną </w:t>
            </w:r>
            <w:r w:rsidRPr="00DD0783">
              <w:lastRenderedPageBreak/>
              <w:t>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FootnoteReference"/>
              </w:rPr>
              <w:footnoteReference w:id="8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ListParagraph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FootnoteReference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FootnoteReference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</w:t>
            </w:r>
            <w:r w:rsidRPr="00DD0783">
              <w:lastRenderedPageBreak/>
              <w:t xml:space="preserve">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FootnoteReference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obsługę techniczną/koszty utrzymania.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CD30E3" w:rsidRDefault="00A23F33" w:rsidP="00E71C56">
      <w:pPr>
        <w:pStyle w:val="ListParagraph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144BB9" w:rsidRPr="00DD0783" w:rsidRDefault="00144BB9" w:rsidP="00E71C56">
      <w:pPr>
        <w:pStyle w:val="ListParagraph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FootnoteReference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ListParagraph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FootnoteReference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FootnoteReference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FootnoteReference"/>
        </w:rPr>
        <w:footnoteReference w:id="16"/>
      </w:r>
      <w:r w:rsidR="00DD5F4B" w:rsidRPr="00DD0783">
        <w:rPr>
          <w:rStyle w:val="EndnoteReference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ListParagraph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FootnoteReference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FootnoteReference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FootnoteReference"/>
        </w:rPr>
        <w:footnoteReference w:id="19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ListParagraph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ListParagraph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FootnoteReference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FootnoteReference"/>
          <w:rFonts w:cs="Arial"/>
        </w:rPr>
        <w:footnoteReference w:id="21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ListParagraph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FootnoteReference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ListParagraph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FootnoteReference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ListParagraph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ListParagraph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FootnoteReference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ListParagraph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ListParagraph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ListParagraph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ListParagraph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ListParagraph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FootnoteReference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ListParagraph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udział w targach/misjach/wystawach poniesione przed złożeniem wniosku o dofinansowanie z wyłączeniem wydatków związanych z wpłatą zaliczki na udział </w:t>
      </w:r>
      <w:r w:rsidRPr="00DD0783">
        <w:rPr>
          <w:rFonts w:eastAsia="Times New Roman" w:cs="Times New Roman"/>
        </w:rPr>
        <w:lastRenderedPageBreak/>
        <w:t>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FootnoteReference"/>
        </w:rPr>
        <w:footnoteReference w:id="26"/>
      </w:r>
      <w:r w:rsidRPr="00DD0783">
        <w:t>.</w:t>
      </w:r>
    </w:p>
    <w:p w:rsidR="00A23F33" w:rsidRPr="00DD0783" w:rsidRDefault="00A23F33" w:rsidP="003B2988">
      <w:pPr>
        <w:pStyle w:val="ListParagraph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FootnoteReference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FootnoteReference"/>
        </w:rPr>
        <w:footnoteReference w:id="28"/>
      </w:r>
      <w:r w:rsidRPr="00DD0783">
        <w:t>.</w:t>
      </w:r>
    </w:p>
    <w:p w:rsidR="00A23F33" w:rsidRPr="00DD0783" w:rsidRDefault="00A23F33" w:rsidP="00E71C56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FootnoteReference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FootnoteReference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FootnoteReference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0B129E" w:rsidRDefault="000B129E" w:rsidP="00E71C5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ListParagraph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ListParagraph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 xml:space="preserve">koszty utrzymania budynku stanowią łącznie wszystkie </w:t>
      </w:r>
      <w:r w:rsidR="009261C8" w:rsidRPr="00DD0783">
        <w:rPr>
          <w:rFonts w:eastAsia="Calibri" w:cs="Times New Roman"/>
          <w:lang w:eastAsia="en-US"/>
        </w:rPr>
        <w:lastRenderedPageBreak/>
        <w:t>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FootnoteReference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ListParagraph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FootnoteReference"/>
        </w:rPr>
        <w:footnoteReference w:id="33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ListParagraph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FootnoteReference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ListParagraph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FootnoteReference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FootnoteReference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ListParagraph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FootnoteReference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ListParagraph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FootnoteReference"/>
        </w:rPr>
        <w:footnoteReference w:id="38"/>
      </w:r>
      <w:r w:rsidRPr="00DD0783">
        <w:t>.</w:t>
      </w:r>
    </w:p>
    <w:p w:rsidR="001213D3" w:rsidRPr="00DD0783" w:rsidRDefault="001D4A2D" w:rsidP="00E71C56">
      <w:pPr>
        <w:pStyle w:val="ListParagraph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lastRenderedPageBreak/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FootnoteReference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ListParagraph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FootnoteReference"/>
        </w:rPr>
        <w:footnoteReference w:id="40"/>
      </w:r>
      <w:r w:rsidR="00880E60">
        <w:t>.</w:t>
      </w:r>
    </w:p>
    <w:p w:rsidR="00014B07" w:rsidRPr="00DD0783" w:rsidRDefault="00A23F33" w:rsidP="00E71C56">
      <w:pPr>
        <w:pStyle w:val="ListParagraph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ListParagraph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FootnoteReference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ListParagraph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:rsidR="009C18C1" w:rsidRPr="009E58A1" w:rsidRDefault="009C18C1" w:rsidP="00E71C56">
      <w:pPr>
        <w:pStyle w:val="ListParagraph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FootnoteReference"/>
          <w:rFonts w:eastAsia="Times New Roman" w:cs="Times New Roman"/>
        </w:rPr>
        <w:footnoteReference w:id="42"/>
      </w:r>
    </w:p>
    <w:p w:rsidR="00283995" w:rsidRPr="00283995" w:rsidRDefault="00283995" w:rsidP="00E71C56">
      <w:pPr>
        <w:pStyle w:val="ListParagraph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880E60">
      <w:pPr>
        <w:pStyle w:val="ListParagraph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FootnoteReference"/>
        </w:rPr>
        <w:footnoteReference w:id="43"/>
      </w:r>
      <w:r>
        <w:t>.</w:t>
      </w:r>
    </w:p>
    <w:p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ListParagraph"/>
        <w:numPr>
          <w:ilvl w:val="0"/>
          <w:numId w:val="10"/>
        </w:numPr>
        <w:jc w:val="both"/>
      </w:pPr>
      <w:r>
        <w:lastRenderedPageBreak/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ListParagraph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ListParagraph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ListParagraph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ListParagraph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ListParagraph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ListParagraph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:rsidR="009C18C1" w:rsidRDefault="009C18C1" w:rsidP="00E71C56">
      <w:pPr>
        <w:pStyle w:val="ListParagraph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Default="00661694" w:rsidP="00E71C56">
      <w:pPr>
        <w:pStyle w:val="ListParagraph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C43638" w:rsidRPr="00C43638" w:rsidRDefault="00C43638" w:rsidP="00C43638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FootnoteReference"/>
          <w:rFonts w:cs="Arial"/>
        </w:rPr>
        <w:footnoteReference w:id="44"/>
      </w:r>
    </w:p>
    <w:p w:rsidR="00C43638" w:rsidRPr="00DD0783" w:rsidRDefault="00C43638" w:rsidP="00E71C56">
      <w:pPr>
        <w:pStyle w:val="ListParagraph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 xml:space="preserve">w tym dostępności dla osób z niepełnosprawnościami oraz zasady równości szans kobiet i mężczyzn w ramach </w:t>
      </w:r>
      <w:r w:rsidRPr="00782A35">
        <w:rPr>
          <w:rFonts w:cs="Arial"/>
          <w:i/>
        </w:rPr>
        <w:lastRenderedPageBreak/>
        <w:t>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FootnoteReference"/>
          <w:rFonts w:cs="Arial"/>
          <w:iCs/>
        </w:rPr>
        <w:footnoteReference w:id="45"/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ListParagraph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ListParagraph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ListParagraph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FootnoteReference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ListParagraph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FootnoteReference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FootnoteReference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A77673" w:rsidRPr="00746B7B" w:rsidRDefault="0022532B" w:rsidP="00746B7B">
      <w:pPr>
        <w:pStyle w:val="ListParagraph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:rsidR="001113B7" w:rsidRPr="0045119D" w:rsidRDefault="001113B7" w:rsidP="001113B7">
      <w:pPr>
        <w:pStyle w:val="ListParagraph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:rsidR="001113B7" w:rsidRPr="0045119D" w:rsidRDefault="001113B7" w:rsidP="001113B7">
      <w:pPr>
        <w:pStyle w:val="ListParagraph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:rsidR="001113B7" w:rsidRDefault="001113B7" w:rsidP="00E71C56">
      <w:pPr>
        <w:pStyle w:val="ListParagraph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:rsidR="001113B7" w:rsidRPr="00B43F6B" w:rsidRDefault="001113B7" w:rsidP="00E71C56">
      <w:pPr>
        <w:pStyle w:val="ListParagraph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:rsidR="000E1A11" w:rsidRPr="0009794A" w:rsidRDefault="000E1A11" w:rsidP="00E71C56">
      <w:pPr>
        <w:pStyle w:val="ListParagraph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ListParagraph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ListParagraph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ListParagraph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ListParagraph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E74430" w:rsidRPr="00E74430" w:rsidRDefault="00A23F33" w:rsidP="00E74430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:rsidR="00A23F33" w:rsidRPr="00DD0783" w:rsidRDefault="00A23F33" w:rsidP="00E71C56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ListParagraph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A476E8">
      <w:pPr>
        <w:pStyle w:val="ListParagraph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2D017D" w:rsidRDefault="002D017D" w:rsidP="00A476E8">
      <w:pPr>
        <w:pStyle w:val="ListParagraph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455244" w:rsidRPr="0028003C" w:rsidRDefault="00455244" w:rsidP="002F5739">
      <w:pPr>
        <w:pStyle w:val="ListParagraph"/>
        <w:spacing w:after="0"/>
        <w:jc w:val="both"/>
        <w:rPr>
          <w:rFonts w:cs="Times New Roman"/>
        </w:rPr>
      </w:pPr>
    </w:p>
    <w:p w:rsidR="006B4515" w:rsidRDefault="006B4515" w:rsidP="003B2988">
      <w:pPr>
        <w:pStyle w:val="ListParagraph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ListParagraph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ListParagraph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ListParagraph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0F7BCE" w:rsidRDefault="00A23F33" w:rsidP="00B43F6B">
      <w:pPr>
        <w:pStyle w:val="ListParagraph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0E298A" w:rsidRPr="00D109AA" w:rsidRDefault="000F7BCE" w:rsidP="00B43F6B">
      <w:pPr>
        <w:pStyle w:val="ListParagraph"/>
        <w:numPr>
          <w:ilvl w:val="0"/>
          <w:numId w:val="9"/>
        </w:numPr>
        <w:spacing w:after="0"/>
        <w:jc w:val="both"/>
      </w:pPr>
      <w:r>
        <w:lastRenderedPageBreak/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:rsidR="00A3315B" w:rsidRDefault="005C51F6" w:rsidP="00E0122E">
      <w:pPr>
        <w:pStyle w:val="ListParagraph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:rsidR="000E298A" w:rsidRDefault="005C51F6" w:rsidP="00E0122E">
      <w:pPr>
        <w:pStyle w:val="ListParagraph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:rsidR="000E298A" w:rsidRDefault="005C51F6" w:rsidP="000E298A">
      <w:pPr>
        <w:pStyle w:val="ListParagraph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:rsidR="001B7507" w:rsidRPr="00DD0783" w:rsidRDefault="001B7507" w:rsidP="00E0122E">
      <w:pPr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ListParagraph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ListParagraph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ListParagraph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ListParagraph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FootnoteReference"/>
        </w:rPr>
        <w:footnoteReference w:id="49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FootnoteReference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FootnoteReference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lastRenderedPageBreak/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ListParagraph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ListParagraph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ListParagraph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ListParagraph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ListParagraph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ListParagraph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ListParagraph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:rsidR="00A23F33" w:rsidRPr="00DD0783" w:rsidRDefault="00A23F33" w:rsidP="00E71C56">
      <w:pPr>
        <w:pStyle w:val="ListParagraph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:rsidR="00A23F33" w:rsidRPr="00DD0783" w:rsidRDefault="00A23F33" w:rsidP="00E71C56">
      <w:pPr>
        <w:pStyle w:val="ListParagraph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ListParagraph"/>
        <w:numPr>
          <w:ilvl w:val="0"/>
          <w:numId w:val="11"/>
        </w:numPr>
        <w:jc w:val="both"/>
        <w:rPr>
          <w:b/>
        </w:rPr>
      </w:pPr>
      <w:r w:rsidRPr="00DD0783">
        <w:lastRenderedPageBreak/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ListParagraph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ListParagraph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FootnoteReference"/>
          <w:b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ListParagraph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FootnoteReference"/>
        </w:rPr>
        <w:footnoteReference w:id="55"/>
      </w:r>
      <w:r w:rsidRPr="00DD0783">
        <w:t>.</w:t>
      </w:r>
    </w:p>
    <w:p w:rsidR="006B4515" w:rsidRPr="00DD0783" w:rsidRDefault="006B4515" w:rsidP="003B2988">
      <w:pPr>
        <w:pStyle w:val="ListParagraph"/>
        <w:spacing w:after="0"/>
        <w:ind w:left="714"/>
        <w:jc w:val="both"/>
        <w:rPr>
          <w:b/>
        </w:rPr>
      </w:pPr>
    </w:p>
    <w:p w:rsidR="00897BAD" w:rsidRDefault="00FD7775" w:rsidP="001B7507">
      <w:pPr>
        <w:pStyle w:val="ListParagraph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:rsidR="00A23F33" w:rsidRPr="00DD0783" w:rsidRDefault="00897BAD" w:rsidP="001B7507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FootnoteReference"/>
        </w:rPr>
        <w:footnoteReference w:id="56"/>
      </w:r>
      <w:r w:rsidRPr="00DD0783">
        <w:t>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FootnoteReference"/>
          <w:u w:val="single"/>
        </w:rPr>
        <w:footnoteReference w:id="57"/>
      </w:r>
      <w:r w:rsidRPr="00DD0783">
        <w:t>.</w:t>
      </w:r>
    </w:p>
    <w:p w:rsidR="00A23F33" w:rsidRDefault="00A23F33" w:rsidP="00E71C56">
      <w:pPr>
        <w:pStyle w:val="ListParagraph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</w:t>
      </w:r>
      <w:r w:rsidRPr="00DD0783">
        <w:lastRenderedPageBreak/>
        <w:t xml:space="preserve">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FootnoteReference"/>
          <w:u w:val="single"/>
        </w:rPr>
        <w:footnoteReference w:id="58"/>
      </w:r>
      <w:r w:rsidRPr="00DD0783">
        <w:t>.</w:t>
      </w:r>
    </w:p>
    <w:p w:rsidR="005953E3" w:rsidRDefault="005953E3" w:rsidP="004F19B4">
      <w:pPr>
        <w:pStyle w:val="ListParagraph"/>
        <w:jc w:val="both"/>
      </w:pPr>
    </w:p>
    <w:p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:rsidR="00897BAD" w:rsidRPr="00DD0783" w:rsidRDefault="00897BAD" w:rsidP="00897BAD">
      <w:pPr>
        <w:pStyle w:val="ListParagraph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:rsidR="00835E34" w:rsidRPr="004F19B4" w:rsidRDefault="00835E34" w:rsidP="004F19B4">
      <w:pPr>
        <w:pStyle w:val="ListParagraph"/>
        <w:numPr>
          <w:ilvl w:val="0"/>
          <w:numId w:val="5"/>
        </w:numPr>
        <w:jc w:val="both"/>
      </w:pPr>
      <w:r w:rsidRPr="004F19B4">
        <w:t>Wydatki wykraczające poza zakres rzeczowy ustalony z wojewodą dolnośląskim i</w:t>
      </w:r>
      <w:r w:rsidR="00B90C4B">
        <w:t> </w:t>
      </w:r>
      <w:r w:rsidRPr="004F19B4">
        <w:t>wojewódzkim konsultantem ds. chorób zakaźnych</w:t>
      </w:r>
      <w:r w:rsidR="00B90C4B" w:rsidRPr="004F19B4">
        <w:t>.</w:t>
      </w:r>
    </w:p>
    <w:p w:rsidR="006B4515" w:rsidRDefault="006B4515" w:rsidP="003B2988">
      <w:pPr>
        <w:pStyle w:val="ListParagraph"/>
        <w:jc w:val="both"/>
      </w:pPr>
    </w:p>
    <w:p w:rsidR="004F19B4" w:rsidRPr="00DD0783" w:rsidRDefault="004F19B4" w:rsidP="003B2988">
      <w:pPr>
        <w:pStyle w:val="ListParagraph"/>
        <w:jc w:val="both"/>
      </w:pPr>
    </w:p>
    <w:p w:rsidR="00A23F33" w:rsidRPr="00DD0783" w:rsidRDefault="00FD7775" w:rsidP="003B2988">
      <w:pPr>
        <w:pStyle w:val="ListParagraph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ListParagraph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:rsidR="00042236" w:rsidRPr="00DD0783" w:rsidRDefault="00FC3DFA" w:rsidP="00E71C56">
      <w:pPr>
        <w:pStyle w:val="ListParagraph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FootnoteReference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:rsidR="00835141" w:rsidRPr="00DD0783" w:rsidRDefault="00835141" w:rsidP="00E71C56">
      <w:pPr>
        <w:pStyle w:val="ListParagraph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FootnoteReference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FootnoteReference"/>
        </w:rPr>
        <w:footnoteReference w:id="63"/>
      </w:r>
      <w:r w:rsidRPr="00DD0783">
        <w:t xml:space="preserve">) </w:t>
      </w:r>
      <w:bookmarkEnd w:id="20"/>
      <w:r w:rsidRPr="00DD0783">
        <w:rPr>
          <w:rStyle w:val="FootnoteReference"/>
        </w:rPr>
        <w:footnoteReference w:id="64"/>
      </w:r>
      <w:r w:rsidRPr="00DD0783">
        <w:t>.</w:t>
      </w:r>
    </w:p>
    <w:p w:rsidR="00A23F33" w:rsidRPr="00DD0783" w:rsidRDefault="00042236" w:rsidP="00E71C56">
      <w:pPr>
        <w:pStyle w:val="ListParagraph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FootnoteReference"/>
        </w:rPr>
        <w:footnoteReference w:id="65"/>
      </w:r>
      <w:r w:rsidR="00981291" w:rsidRPr="00DD0783">
        <w:t>.</w:t>
      </w:r>
    </w:p>
    <w:p w:rsidR="00A23F33" w:rsidRPr="00DD0783" w:rsidRDefault="00A23F33" w:rsidP="00E71C56">
      <w:pPr>
        <w:pStyle w:val="ListParagraph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lastRenderedPageBreak/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FootnoteReference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FootnoteReference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FootnoteReference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FootnoteReference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FootnoteReference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E71C56">
      <w:pPr>
        <w:pStyle w:val="ListParagraph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ListParagraph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FootnoteReference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FootnoteReference"/>
          <w:rFonts w:eastAsia="Times New Roman" w:cs="Times New Roman"/>
        </w:rPr>
        <w:footnoteReference w:id="73"/>
      </w:r>
      <w:r w:rsidRPr="00DD0783">
        <w:t>.</w:t>
      </w:r>
    </w:p>
    <w:p w:rsidR="00A23F33" w:rsidRDefault="00A23F33" w:rsidP="00E71C56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FootnoteReference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:rsidR="009828BB" w:rsidRPr="00DD0783" w:rsidRDefault="009828BB" w:rsidP="00E71C56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lastRenderedPageBreak/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FootnoteReference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FootnoteReference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ListParagraph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ListParagraph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025329" w:rsidRPr="00025329" w:rsidRDefault="00025329" w:rsidP="00F67081">
      <w:pPr>
        <w:pStyle w:val="ListParagraph"/>
        <w:tabs>
          <w:tab w:val="left" w:pos="5330"/>
        </w:tabs>
        <w:spacing w:line="240" w:lineRule="auto"/>
        <w:jc w:val="both"/>
        <w:rPr>
          <w:b/>
        </w:rPr>
      </w:pPr>
    </w:p>
    <w:p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:rsidR="00526548" w:rsidRPr="007C5B38" w:rsidRDefault="00526548" w:rsidP="0052654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:rsidR="00526548" w:rsidRPr="007C5B38" w:rsidRDefault="00526548" w:rsidP="0052654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</w:t>
      </w:r>
      <w:r w:rsidRPr="007C5B38">
        <w:rPr>
          <w:rFonts w:cs="Calibri"/>
        </w:rPr>
        <w:lastRenderedPageBreak/>
        <w:t>podstawy wyliczenia stawki ryczałtowej, o ile zastosowanie stawki ryczałtowej wymaga określenia tego typu kosztów</w:t>
      </w:r>
      <w:r>
        <w:rPr>
          <w:rFonts w:cs="Calibri"/>
        </w:rPr>
        <w:t>,</w:t>
      </w:r>
    </w:p>
    <w:p w:rsidR="00526548" w:rsidRPr="007C5B38" w:rsidRDefault="00526548" w:rsidP="0052654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:rsidR="00526548" w:rsidRPr="007C5B38" w:rsidRDefault="00526548" w:rsidP="003A6B1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:rsidR="00526548" w:rsidRDefault="00526548" w:rsidP="003A6B1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1D03FF" w:rsidRDefault="001D03FF" w:rsidP="001D03F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1D03FF" w:rsidRDefault="001D03FF" w:rsidP="001D03F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:rsidR="00526548" w:rsidRDefault="00526548" w:rsidP="001D03F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:rsidR="00526548" w:rsidRDefault="00526548" w:rsidP="001D03F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lastRenderedPageBreak/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:rsidR="001D03FF" w:rsidRDefault="001D03FF" w:rsidP="001D03F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:rsidR="0052654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526548" w:rsidRPr="007C5B3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:rsidR="00526548" w:rsidRDefault="00526548" w:rsidP="001D03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:rsidR="00843D11" w:rsidRDefault="00843D11" w:rsidP="00843D11">
      <w:pPr>
        <w:pStyle w:val="ListParagraph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Default="00843D11" w:rsidP="00843D11">
      <w:pPr>
        <w:pStyle w:val="ListParagraph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lastRenderedPageBreak/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:rsidR="00843D11" w:rsidRPr="007C5B38" w:rsidRDefault="00843D11" w:rsidP="009074A5">
      <w:pPr>
        <w:pStyle w:val="ListParagraph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E341E" w:rsidRPr="002D3C6C" w:rsidRDefault="002E341E" w:rsidP="002E341E">
      <w:pPr>
        <w:pStyle w:val="EndnoteText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lastRenderedPageBreak/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leGrid"/>
        <w:tblW w:w="0" w:type="auto"/>
        <w:tblLook w:val="04A0"/>
      </w:tblPr>
      <w:tblGrid>
        <w:gridCol w:w="9062"/>
      </w:tblGrid>
      <w:tr w:rsidR="00843D11" w:rsidTr="00843D11">
        <w:tc>
          <w:tcPr>
            <w:tcW w:w="9062" w:type="dxa"/>
          </w:tcPr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:rsidR="00843D11" w:rsidRDefault="00843D11" w:rsidP="00843D1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:rsidR="00843D11" w:rsidRDefault="00843D11" w:rsidP="00843D1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:rsidR="00843D11" w:rsidRDefault="00843D11" w:rsidP="00843D1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:rsidR="00843D11" w:rsidRDefault="00843D11" w:rsidP="00843D1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/>
            </w:tblPr>
            <w:tblGrid>
              <w:gridCol w:w="4433"/>
              <w:gridCol w:w="4403"/>
            </w:tblGrid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CommentReference"/>
              </w:rPr>
            </w:pPr>
          </w:p>
        </w:tc>
      </w:tr>
    </w:tbl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CommentReference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CommentReference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</w:t>
      </w:r>
      <w:r>
        <w:rPr>
          <w:rFonts w:cs="Calibri"/>
        </w:rPr>
        <w:lastRenderedPageBreak/>
        <w:t xml:space="preserve">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19" w:rsidRDefault="00A92B19" w:rsidP="00BA376B">
      <w:pPr>
        <w:spacing w:after="0" w:line="240" w:lineRule="auto"/>
      </w:pPr>
      <w:r>
        <w:separator/>
      </w:r>
    </w:p>
  </w:endnote>
  <w:endnote w:type="continuationSeparator" w:id="0">
    <w:p w:rsidR="00A92B19" w:rsidRDefault="00A92B19" w:rsidP="00BA376B">
      <w:pPr>
        <w:spacing w:after="0" w:line="240" w:lineRule="auto"/>
      </w:pPr>
      <w:r>
        <w:continuationSeparator/>
      </w:r>
    </w:p>
  </w:endnote>
  <w:endnote w:type="continuationNotice" w:id="1">
    <w:p w:rsidR="00A92B19" w:rsidRDefault="00A92B19">
      <w:pPr>
        <w:spacing w:after="0" w:line="240" w:lineRule="auto"/>
      </w:pPr>
    </w:p>
  </w:endnote>
  <w:endnote w:id="2">
    <w:p w:rsidR="00DB4F2F" w:rsidRPr="002D3C6C" w:rsidRDefault="00DB4F2F" w:rsidP="00C5419D">
      <w:pPr>
        <w:pStyle w:val="EndnoteText"/>
        <w:jc w:val="both"/>
        <w:rPr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732661"/>
      <w:docPartObj>
        <w:docPartGallery w:val="Page Numbers (Bottom of Page)"/>
        <w:docPartUnique/>
      </w:docPartObj>
    </w:sdtPr>
    <w:sdtContent>
      <w:p w:rsidR="00DB4F2F" w:rsidRDefault="00BA128D">
        <w:pPr>
          <w:pStyle w:val="Footer"/>
          <w:jc w:val="right"/>
        </w:pPr>
        <w:r>
          <w:fldChar w:fldCharType="begin"/>
        </w:r>
        <w:r w:rsidR="00DB4F2F">
          <w:instrText xml:space="preserve"> PAGE   \* MERGEFORMAT </w:instrText>
        </w:r>
        <w:r>
          <w:fldChar w:fldCharType="separate"/>
        </w:r>
        <w:r w:rsidR="00E80F42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DB4F2F" w:rsidRDefault="00DB4F2F" w:rsidP="00DC41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19" w:rsidRDefault="00A92B19" w:rsidP="00BA376B">
      <w:pPr>
        <w:spacing w:after="0" w:line="240" w:lineRule="auto"/>
      </w:pPr>
      <w:r>
        <w:separator/>
      </w:r>
    </w:p>
  </w:footnote>
  <w:footnote w:type="continuationSeparator" w:id="0">
    <w:p w:rsidR="00A92B19" w:rsidRDefault="00A92B19" w:rsidP="00BA376B">
      <w:pPr>
        <w:spacing w:after="0" w:line="240" w:lineRule="auto"/>
      </w:pPr>
      <w:r>
        <w:continuationSeparator/>
      </w:r>
    </w:p>
  </w:footnote>
  <w:footnote w:type="continuationNotice" w:id="1">
    <w:p w:rsidR="00A92B19" w:rsidRDefault="00A92B19">
      <w:pPr>
        <w:spacing w:after="0" w:line="240" w:lineRule="auto"/>
      </w:pPr>
    </w:p>
  </w:footnote>
  <w:footnote w:id="2">
    <w:p w:rsidR="00DB4F2F" w:rsidRPr="00013AFB" w:rsidRDefault="00DB4F2F" w:rsidP="00B2110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:rsidR="00DB4F2F" w:rsidRDefault="00DB4F2F" w:rsidP="009E58A1">
      <w:pPr>
        <w:pStyle w:val="FootnoteText"/>
        <w:jc w:val="both"/>
      </w:pPr>
      <w:r w:rsidRPr="00C40B9D">
        <w:rPr>
          <w:rStyle w:val="FootnoteReference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:rsidR="00DB4F2F" w:rsidRPr="00013AFB" w:rsidRDefault="00DB4F2F" w:rsidP="007F246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Termin umowa oznacza również inne dokumenty będące podstawą dofinansowania projektu, np. uchwałę czy porozumienie.</w:t>
      </w:r>
    </w:p>
    <w:p w:rsidR="00DB4F2F" w:rsidRPr="00013AFB" w:rsidRDefault="00DB4F2F" w:rsidP="00013AFB">
      <w:pPr>
        <w:pStyle w:val="FootnoteText"/>
        <w:jc w:val="both"/>
        <w:rPr>
          <w:b/>
        </w:rPr>
      </w:pPr>
    </w:p>
  </w:footnote>
  <w:footnote w:id="5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:rsidR="00DB4F2F" w:rsidRPr="00013AFB" w:rsidRDefault="00DB4F2F" w:rsidP="009F303C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26.08.2016 r. do dnia 26.10.2016 r. Dla pozostałych konkursów – zapis nieobowiązujący.</w:t>
      </w:r>
    </w:p>
    <w:p w:rsidR="00DB4F2F" w:rsidRPr="00013AFB" w:rsidRDefault="00DB4F2F">
      <w:pPr>
        <w:pStyle w:val="FootnoteText"/>
      </w:pPr>
    </w:p>
  </w:footnote>
  <w:footnote w:id="7">
    <w:p w:rsidR="00DB4F2F" w:rsidRDefault="00DB4F2F" w:rsidP="00A476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:rsidR="00DB4F2F" w:rsidRPr="00013AFB" w:rsidRDefault="00DB4F2F" w:rsidP="009F303C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Dla konkursów ogłoszonych przed 29.06.2016 r. – dotyczy odpowiednio 1.4 C i 1.4 D.</w:t>
      </w:r>
    </w:p>
  </w:footnote>
  <w:footnote w:id="9">
    <w:p w:rsidR="00DB4F2F" w:rsidRDefault="00DB4F2F" w:rsidP="00A476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:rsidR="00DB4F2F" w:rsidRDefault="00DB4F2F" w:rsidP="00A476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:rsidR="00DB4F2F" w:rsidRPr="00013AFB" w:rsidRDefault="00DB4F2F" w:rsidP="007A2810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26.09.2016 r. do dnia 20.11.2016 r. Dla pozostałych konkursów – zapis nieobowiązujący.</w:t>
      </w:r>
    </w:p>
  </w:footnote>
  <w:footnote w:id="12">
    <w:p w:rsidR="00DB4F2F" w:rsidRPr="00013AFB" w:rsidRDefault="00DB4F2F" w:rsidP="007A2810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Dotyczy naborów do działania 1.1 ogłaszanych od października 2019 r. </w:t>
      </w:r>
    </w:p>
  </w:footnote>
  <w:footnote w:id="14">
    <w:p w:rsidR="00DB4F2F" w:rsidRPr="002E11F5" w:rsidRDefault="00DB4F2F" w:rsidP="007A2810">
      <w:pPr>
        <w:pStyle w:val="FootnoteText"/>
        <w:jc w:val="both"/>
      </w:pPr>
      <w:r w:rsidRPr="002E11F5">
        <w:rPr>
          <w:rStyle w:val="FootnoteReference"/>
        </w:rPr>
        <w:footnoteRef/>
      </w:r>
      <w:r w:rsidRPr="002E11F5">
        <w:t xml:space="preserve"> </w:t>
      </w:r>
      <w:r w:rsidRPr="002E11F5">
        <w:t>Dotyczy konkursów ogłaszanych przed 16.01.2017 r. Dla konkursów ogłaszanych od dnia 16.01.2017 r. – zapis nieobowiązujący.</w:t>
      </w:r>
    </w:p>
  </w:footnote>
  <w:footnote w:id="15">
    <w:p w:rsidR="00DB4F2F" w:rsidRPr="002E11F5" w:rsidRDefault="00DB4F2F" w:rsidP="007A2810">
      <w:pPr>
        <w:pStyle w:val="FootnoteText"/>
        <w:jc w:val="both"/>
      </w:pPr>
      <w:r w:rsidRPr="002E11F5">
        <w:rPr>
          <w:rStyle w:val="FootnoteReference"/>
        </w:rPr>
        <w:footnoteRef/>
      </w:r>
      <w:r w:rsidRPr="002E11F5">
        <w:t xml:space="preserve"> </w:t>
      </w:r>
      <w:r w:rsidRPr="002E11F5">
        <w:t xml:space="preserve">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DB4F2F" w:rsidRPr="002E11F5" w:rsidRDefault="00DB4F2F" w:rsidP="007A2810">
      <w:pPr>
        <w:pStyle w:val="FootnoteText"/>
        <w:jc w:val="both"/>
      </w:pPr>
      <w:r w:rsidRPr="002E11F5">
        <w:rPr>
          <w:rStyle w:val="FootnoteReference"/>
        </w:rPr>
        <w:footnoteRef/>
      </w:r>
      <w:r w:rsidRPr="002E11F5"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:rsidR="00DB4F2F" w:rsidRPr="002E11F5" w:rsidRDefault="00DB4F2F" w:rsidP="007A2810">
      <w:pPr>
        <w:pStyle w:val="FootnoteText"/>
        <w:jc w:val="both"/>
      </w:pPr>
      <w:r w:rsidRPr="002E11F5">
        <w:rPr>
          <w:rStyle w:val="FootnoteReference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:rsidR="00DB4F2F" w:rsidRPr="00013AFB" w:rsidRDefault="00DB4F2F" w:rsidP="00013AFB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:rsidR="00DB4F2F" w:rsidRPr="002E11F5" w:rsidRDefault="00DB4F2F" w:rsidP="00013AFB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:rsidR="00DB4F2F" w:rsidRPr="00013AFB" w:rsidRDefault="00DB4F2F" w:rsidP="00013AFB">
      <w:pPr>
        <w:pStyle w:val="FootnoteText"/>
        <w:jc w:val="both"/>
      </w:pPr>
      <w:r w:rsidRPr="002E11F5">
        <w:rPr>
          <w:rStyle w:val="FootnoteReference"/>
        </w:rPr>
        <w:footnoteRef/>
      </w:r>
      <w:r w:rsidRPr="002E11F5"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25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28.12.2015 r. Dla konkursów ogłaszanych przed 28.12.2015 r. – zapis nieobowiązujący.</w:t>
      </w:r>
    </w:p>
  </w:footnote>
  <w:footnote w:id="27">
    <w:p w:rsidR="00DB4F2F" w:rsidRPr="00013AFB" w:rsidRDefault="00DB4F2F" w:rsidP="00B46B35">
      <w:pPr>
        <w:pStyle w:val="FootnoteText"/>
        <w:jc w:val="both"/>
      </w:pPr>
      <w:r w:rsidRPr="002F4911">
        <w:rPr>
          <w:rStyle w:val="FootnoteReference"/>
        </w:rPr>
        <w:footnoteRef/>
      </w:r>
      <w:r w:rsidRPr="002F4911">
        <w:t xml:space="preserve"> </w:t>
      </w:r>
      <w:r w:rsidRPr="002F4911">
        <w:t>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:rsidR="00DB4F2F" w:rsidRPr="00013AFB" w:rsidRDefault="00DB4F2F">
      <w:pPr>
        <w:pStyle w:val="FootnoteText"/>
      </w:pPr>
      <w:r w:rsidRPr="002E11F5">
        <w:rPr>
          <w:rStyle w:val="FootnoteReference"/>
        </w:rPr>
        <w:footnoteRef/>
      </w:r>
      <w:r w:rsidRPr="002E11F5"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29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26.08.2016 r. Dla konkursów ogłaszanych przed 26.08.2016 r. – zapis nieobowiązujący.</w:t>
      </w:r>
    </w:p>
  </w:footnote>
  <w:footnote w:id="30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26.08.2016 r. Dla konkursów ogłaszanych przed 26.08.2016 r. – zapis nieobowiązujący.</w:t>
      </w:r>
    </w:p>
  </w:footnote>
  <w:footnote w:id="31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3730EB">
        <w:rPr>
          <w:rFonts w:eastAsia="Times New Roman" w:cs="Times New Roman"/>
        </w:rPr>
        <w:t xml:space="preserve"> oraz konkursu ogłoszonego w dniu 22 września 2020 r.</w:t>
      </w:r>
    </w:p>
  </w:footnote>
  <w:footnote w:id="32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16.01.2017 r. Dla konkursów ogłaszanych przed 16.01.2017 r. – zapis nieobowiązujący.</w:t>
      </w:r>
    </w:p>
  </w:footnote>
  <w:footnote w:id="33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 xml:space="preserve">Dotyczy konkursów ogłaszanych przed 25.01.2016 r. Dla konkursów ogłaszanych od dnia 25.01.2016 r. – zapis nieobowiązujący. </w:t>
      </w:r>
    </w:p>
  </w:footnote>
  <w:footnote w:id="34">
    <w:p w:rsidR="00DB4F2F" w:rsidRPr="00013AFB" w:rsidRDefault="00DB4F2F" w:rsidP="00042236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26.08.2016 r. Dla konkursów ogłaszanych przed 26.08.2016 r. – zapis nieobowiązujący.</w:t>
      </w:r>
    </w:p>
  </w:footnote>
  <w:footnote w:id="35">
    <w:p w:rsidR="00DB4F2F" w:rsidRPr="00013AFB" w:rsidRDefault="00DB4F2F" w:rsidP="00042236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27.07.2016 r. Dla konkursów ogłaszanych przed 27.07.2016 r. – zapis nieobowiązujący.</w:t>
      </w:r>
    </w:p>
  </w:footnote>
  <w:footnote w:id="36">
    <w:p w:rsidR="00DB4F2F" w:rsidRPr="00013AFB" w:rsidRDefault="00DB4F2F" w:rsidP="00042236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27.07.2016 r. Dla konkursów ogłaszanych przed 27.07.2016 r. – zapis nieobowiązujący.</w:t>
      </w:r>
    </w:p>
  </w:footnote>
  <w:footnote w:id="37">
    <w:p w:rsidR="00DB4F2F" w:rsidRPr="00013AFB" w:rsidRDefault="00DB4F2F" w:rsidP="00042236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> </w:t>
      </w:r>
      <w:r w:rsidRPr="00013AFB">
        <w:t>Dotyczy konkursów ogłaszanych od dnia 28.12.2015 r. Dla konkursów ogłaszanych przed 28.12.2015 r. – zapis nieobowiązujący.</w:t>
      </w:r>
    </w:p>
  </w:footnote>
  <w:footnote w:id="38">
    <w:p w:rsidR="00DB4F2F" w:rsidRPr="00013AFB" w:rsidRDefault="00DB4F2F" w:rsidP="00042236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16.01.2017 r. Dla konkursów ogłaszanych przed 16.01.2017 r. – zapis nieobowiązujący.</w:t>
      </w:r>
    </w:p>
  </w:footnote>
  <w:footnote w:id="39">
    <w:p w:rsidR="00DB4F2F" w:rsidRPr="00013AFB" w:rsidRDefault="00DB4F2F" w:rsidP="00042236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:rsidR="00DB4F2F" w:rsidRDefault="00DB4F2F" w:rsidP="00E0122E">
      <w:pPr>
        <w:pStyle w:val="FootnoteText"/>
        <w:tabs>
          <w:tab w:val="left" w:pos="5490"/>
        </w:tabs>
      </w:pPr>
      <w:r>
        <w:rPr>
          <w:rStyle w:val="FootnoteReference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:rsidR="00DB4F2F" w:rsidRPr="00013AFB" w:rsidRDefault="00DB4F2F" w:rsidP="00042236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przed 23.05.2016 r. Dla konkursów ogłaszanych od dnia 23.05.2016 r. – zapis nieobowiązujący.</w:t>
      </w:r>
    </w:p>
  </w:footnote>
  <w:footnote w:id="42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Dotyczy konkursów ogłaszanych od dnia 25.07.2018 r.</w:t>
      </w:r>
    </w:p>
  </w:footnote>
  <w:footnote w:id="43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Nie dotyczy typu 3.3 d </w:t>
      </w:r>
      <w:r>
        <w:rPr>
          <w:rFonts w:cs="Arial"/>
        </w:rPr>
        <w:t>Wsparcie za pomocą instrumentów finansowych</w:t>
      </w:r>
    </w:p>
  </w:footnote>
  <w:footnote w:id="44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Dotyczy konkursów ogłaszanych od dnia 30.10.2019 r.</w:t>
      </w:r>
    </w:p>
  </w:footnote>
  <w:footnote w:id="45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Dotyczy konkursów ogłaszanych od dnia 30.10.2019 r.</w:t>
      </w:r>
    </w:p>
  </w:footnote>
  <w:footnote w:id="46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:rsidR="00DB4F2F" w:rsidRPr="00BF181E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 xml:space="preserve">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:rsidR="00DB4F2F" w:rsidRPr="00013AFB" w:rsidRDefault="00DB4F2F">
      <w:pPr>
        <w:pStyle w:val="FootnoteText"/>
      </w:pPr>
      <w:r w:rsidRPr="00BF181E">
        <w:rPr>
          <w:rStyle w:val="FootnoteReference"/>
        </w:rPr>
        <w:footnoteRef/>
      </w:r>
      <w:r w:rsidRPr="00BF181E">
        <w:t xml:space="preserve"> </w:t>
      </w:r>
      <w:r w:rsidRPr="00BF181E">
        <w:t>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:rsidR="00DB4F2F" w:rsidRPr="00013AFB" w:rsidRDefault="00DB4F2F" w:rsidP="00A23F33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W rozumieniu rozporządzenia Ministra Transportu i Gospodarki Morskiej z dn. 2 marca 1999 r. w sprawie warunków technicznych, jakim powinny odpowiadać drogi publiczne i ich usytuowanie.</w:t>
      </w:r>
    </w:p>
  </w:footnote>
  <w:footnote w:id="50">
    <w:p w:rsidR="00DB4F2F" w:rsidRPr="00013AFB" w:rsidRDefault="00DB4F2F" w:rsidP="00A23F33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W rozumieniu rozporządzenia Ministra Transportu i Gospodarki Morskiej z dn. 2 marca 1999 r. w sprawie warunków technicznych, jakim powinny odpowiadać drogi publiczne i ich usytuowanie.</w:t>
      </w:r>
    </w:p>
  </w:footnote>
  <w:footnote w:id="51">
    <w:p w:rsidR="00DB4F2F" w:rsidRPr="00013AFB" w:rsidRDefault="00DB4F2F" w:rsidP="00A23F33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W rozumieniu rozporządzenia Ministra Transportu i Gospodarki Morskiej z dn. 2 marca 1999 r. w sprawie warunków technicznych, jakim powinny odpowiadać drogi publiczne i ich usytuowanie.</w:t>
      </w:r>
    </w:p>
  </w:footnote>
  <w:footnote w:id="52">
    <w:p w:rsidR="00DB4F2F" w:rsidRPr="00013AFB" w:rsidRDefault="00DB4F2F" w:rsidP="00A23F33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DB4F2F" w:rsidRPr="00013AFB" w:rsidRDefault="00DB4F2F" w:rsidP="00A23F33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16.01.2017 r. Dla konkursów ogłaszanych przed 16.01.2017 r. – zapis nieobowiązujący.</w:t>
      </w:r>
    </w:p>
  </w:footnote>
  <w:footnote w:id="55">
    <w:p w:rsidR="00DB4F2F" w:rsidRPr="00013AFB" w:rsidRDefault="00DB4F2F" w:rsidP="00A23F33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 xml:space="preserve">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26.08.2016 r. Dla konkursów ogłaszanych przed 26.08.2016 r. – zapis nieobowiązujący.</w:t>
      </w:r>
    </w:p>
  </w:footnote>
  <w:footnote w:id="57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26.08.2016 r. Dla konkursów ogłaszanych przed 26.08.2016 r. – zapis nieobowiązujący.</w:t>
      </w:r>
    </w:p>
  </w:footnote>
  <w:footnote w:id="58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Dotyczy konkursów ogłaszanych od dnia 26.08.2016 r. Dla konkursów ogłaszanych przed 26.08.2016 r. – zapis nieobowiązujący.</w:t>
      </w:r>
    </w:p>
  </w:footnote>
  <w:footnote w:id="59">
    <w:p w:rsidR="00DB4F2F" w:rsidRPr="00013AFB" w:rsidRDefault="00DB4F2F" w:rsidP="00A23F33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 xml:space="preserve">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:rsidR="00DB4F2F" w:rsidRPr="00042236" w:rsidRDefault="00DB4F2F" w:rsidP="00042236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 xml:space="preserve">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:rsidR="00DB4F2F" w:rsidRPr="00042236" w:rsidRDefault="00DB4F2F">
      <w:pPr>
        <w:pStyle w:val="FootnoteText"/>
      </w:pPr>
      <w:r w:rsidRPr="00042236">
        <w:rPr>
          <w:rStyle w:val="FootnoteReference"/>
        </w:rPr>
        <w:footnoteRef/>
      </w:r>
      <w:r w:rsidRPr="00042236">
        <w:t xml:space="preserve"> </w:t>
      </w:r>
      <w:r w:rsidRPr="00042236">
        <w:t>Dotyczy konkursów ogłaszanych od dnia 26.09.2016 r. Dla konkursów ogłaszanych przed 26.09.2016 r. – zapis nieobowiązujący</w:t>
      </w:r>
    </w:p>
  </w:footnote>
  <w:footnote w:id="63">
    <w:p w:rsidR="00DB4F2F" w:rsidRPr="00042236" w:rsidRDefault="00DB4F2F" w:rsidP="00F2036F">
      <w:pPr>
        <w:pStyle w:val="FootnoteText"/>
        <w:jc w:val="both"/>
      </w:pPr>
      <w:r w:rsidRPr="00042236">
        <w:rPr>
          <w:rStyle w:val="FootnoteReference"/>
        </w:rPr>
        <w:footnoteRef/>
      </w:r>
      <w:r w:rsidRPr="00042236">
        <w:t xml:space="preserve"> </w:t>
      </w:r>
      <w:r w:rsidRPr="00042236">
        <w:t>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:rsidR="00DB4F2F" w:rsidRPr="00042236" w:rsidRDefault="00DB4F2F" w:rsidP="00835141">
      <w:pPr>
        <w:pStyle w:val="FootnoteText"/>
        <w:jc w:val="both"/>
      </w:pPr>
      <w:r w:rsidRPr="00042236">
        <w:rPr>
          <w:rStyle w:val="FootnoteReference"/>
        </w:rPr>
        <w:footnoteRef/>
      </w:r>
      <w:r w:rsidRPr="00042236">
        <w:t xml:space="preserve"> </w:t>
      </w:r>
      <w:r w:rsidRPr="00042236">
        <w:t>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:rsidR="00DB4F2F" w:rsidRPr="00042236" w:rsidRDefault="00DB4F2F" w:rsidP="00A23F33">
      <w:pPr>
        <w:pStyle w:val="FootnoteText"/>
      </w:pPr>
      <w:r w:rsidRPr="00042236">
        <w:rPr>
          <w:rStyle w:val="FootnoteReference"/>
        </w:rPr>
        <w:footnoteRef/>
      </w:r>
      <w:r w:rsidRPr="00042236">
        <w:t xml:space="preserve"> </w:t>
      </w:r>
      <w:r w:rsidRPr="00042236">
        <w:t>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:rsidR="00DB4F2F" w:rsidRPr="00042236" w:rsidRDefault="00DB4F2F" w:rsidP="00A23F33">
      <w:pPr>
        <w:pStyle w:val="FootnoteText"/>
        <w:jc w:val="both"/>
      </w:pPr>
      <w:r w:rsidRPr="00042236">
        <w:rPr>
          <w:rStyle w:val="FootnoteReference"/>
        </w:rPr>
        <w:footnoteRef/>
      </w:r>
      <w:r w:rsidRPr="00042236">
        <w:t xml:space="preserve"> </w:t>
      </w:r>
      <w:r w:rsidRPr="00042236">
        <w:t>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:rsidR="00DB4F2F" w:rsidRPr="00042236" w:rsidRDefault="00DB4F2F" w:rsidP="00A23F33">
      <w:pPr>
        <w:pStyle w:val="FootnoteText"/>
        <w:jc w:val="both"/>
      </w:pPr>
      <w:r w:rsidRPr="00042236">
        <w:rPr>
          <w:rStyle w:val="FootnoteReference"/>
        </w:rPr>
        <w:footnoteRef/>
      </w:r>
      <w:r w:rsidRPr="00042236">
        <w:t xml:space="preserve"> </w:t>
      </w:r>
      <w:r w:rsidRPr="00042236">
        <w:t>Za wyjątkiem zakupu placu zabaw</w:t>
      </w:r>
      <w:r>
        <w:t>.</w:t>
      </w:r>
    </w:p>
  </w:footnote>
  <w:footnote w:id="68">
    <w:p w:rsidR="00DB4F2F" w:rsidRPr="00042236" w:rsidRDefault="00DB4F2F" w:rsidP="00A23F33">
      <w:pPr>
        <w:pStyle w:val="FootnoteText"/>
        <w:jc w:val="both"/>
      </w:pPr>
      <w:r w:rsidRPr="00042236">
        <w:rPr>
          <w:rStyle w:val="FootnoteReference"/>
        </w:rPr>
        <w:footnoteRef/>
      </w:r>
      <w:r w:rsidRPr="00042236">
        <w:t xml:space="preserve"> </w:t>
      </w:r>
      <w:r w:rsidRPr="00042236">
        <w:t>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:rsidR="00DB4F2F" w:rsidRPr="00042236" w:rsidRDefault="00DB4F2F" w:rsidP="00A23F33">
      <w:pPr>
        <w:pStyle w:val="FootnoteText"/>
        <w:jc w:val="both"/>
      </w:pPr>
      <w:r w:rsidRPr="00042236">
        <w:rPr>
          <w:rStyle w:val="FootnoteReference"/>
        </w:rPr>
        <w:footnoteRef/>
      </w:r>
      <w:r w:rsidRPr="00042236">
        <w:t xml:space="preserve"> </w:t>
      </w:r>
      <w:r w:rsidRPr="00042236">
        <w:t>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:rsidR="00DB4F2F" w:rsidRPr="00013AFB" w:rsidRDefault="00DB4F2F" w:rsidP="00A23F33">
      <w:pPr>
        <w:pStyle w:val="FootnoteText"/>
        <w:jc w:val="both"/>
      </w:pPr>
      <w:r w:rsidRPr="00042236">
        <w:rPr>
          <w:rStyle w:val="FootnoteReference"/>
          <w:color w:val="000000" w:themeColor="text1"/>
        </w:rPr>
        <w:footnoteRef/>
      </w:r>
      <w:r w:rsidRPr="00042236">
        <w:rPr>
          <w:color w:val="000000" w:themeColor="text1"/>
        </w:rPr>
        <w:t xml:space="preserve"> </w:t>
      </w:r>
      <w:r w:rsidRPr="00042236">
        <w:rPr>
          <w:color w:val="000000" w:themeColor="text1"/>
        </w:rPr>
        <w:t xml:space="preserve">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 xml:space="preserve">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:rsidR="00DB4F2F" w:rsidRPr="00013AFB" w:rsidRDefault="00DB4F2F" w:rsidP="00A23F33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:rsidR="00DB4F2F" w:rsidRDefault="00DB4F2F" w:rsidP="00A7367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>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:rsidR="00DB4F2F" w:rsidRPr="00013AFB" w:rsidRDefault="00DB4F2F" w:rsidP="00A23F33">
      <w:pPr>
        <w:pStyle w:val="FootnoteText"/>
        <w:jc w:val="both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>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:rsidR="00DB4F2F" w:rsidRDefault="00DB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:rsidR="00DB4F2F" w:rsidRPr="00013AFB" w:rsidRDefault="00DB4F2F">
      <w:pPr>
        <w:pStyle w:val="FootnoteText"/>
      </w:pPr>
      <w:r w:rsidRPr="00013AFB">
        <w:rPr>
          <w:rStyle w:val="FootnoteReference"/>
        </w:rPr>
        <w:footnoteRef/>
      </w:r>
      <w:r w:rsidRPr="00013AFB">
        <w:t xml:space="preserve"> </w:t>
      </w:r>
      <w:r w:rsidRPr="00013AFB">
        <w:t xml:space="preserve">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2F" w:rsidRDefault="00DB4F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3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11"/>
  </w:num>
  <w:num w:numId="9">
    <w:abstractNumId w:val="37"/>
  </w:num>
  <w:num w:numId="10">
    <w:abstractNumId w:val="25"/>
  </w:num>
  <w:num w:numId="11">
    <w:abstractNumId w:val="18"/>
  </w:num>
  <w:num w:numId="12">
    <w:abstractNumId w:val="17"/>
  </w:num>
  <w:num w:numId="13">
    <w:abstractNumId w:val="35"/>
  </w:num>
  <w:num w:numId="14">
    <w:abstractNumId w:val="9"/>
  </w:num>
  <w:num w:numId="15">
    <w:abstractNumId w:val="29"/>
  </w:num>
  <w:num w:numId="16">
    <w:abstractNumId w:val="33"/>
  </w:num>
  <w:num w:numId="17">
    <w:abstractNumId w:val="31"/>
  </w:num>
  <w:num w:numId="18">
    <w:abstractNumId w:val="36"/>
  </w:num>
  <w:num w:numId="19">
    <w:abstractNumId w:val="23"/>
  </w:num>
  <w:num w:numId="20">
    <w:abstractNumId w:val="14"/>
  </w:num>
  <w:num w:numId="21">
    <w:abstractNumId w:val="7"/>
  </w:num>
  <w:num w:numId="22">
    <w:abstractNumId w:val="2"/>
  </w:num>
  <w:num w:numId="23">
    <w:abstractNumId w:val="28"/>
  </w:num>
  <w:num w:numId="24">
    <w:abstractNumId w:val="34"/>
  </w:num>
  <w:num w:numId="25">
    <w:abstractNumId w:val="8"/>
  </w:num>
  <w:num w:numId="26">
    <w:abstractNumId w:val="32"/>
  </w:num>
  <w:num w:numId="27">
    <w:abstractNumId w:val="15"/>
  </w:num>
  <w:num w:numId="28">
    <w:abstractNumId w:val="19"/>
  </w:num>
  <w:num w:numId="29">
    <w:abstractNumId w:val="40"/>
  </w:num>
  <w:num w:numId="30">
    <w:abstractNumId w:val="39"/>
  </w:num>
  <w:num w:numId="31">
    <w:abstractNumId w:val="0"/>
  </w:num>
  <w:num w:numId="32">
    <w:abstractNumId w:val="10"/>
  </w:num>
  <w:num w:numId="33">
    <w:abstractNumId w:val="26"/>
  </w:num>
  <w:num w:numId="34">
    <w:abstractNumId w:val="6"/>
  </w:num>
  <w:num w:numId="35">
    <w:abstractNumId w:val="30"/>
  </w:num>
  <w:num w:numId="36">
    <w:abstractNumId w:val="41"/>
  </w:num>
  <w:num w:numId="37">
    <w:abstractNumId w:val="20"/>
  </w:num>
  <w:num w:numId="38">
    <w:abstractNumId w:val="27"/>
  </w:num>
  <w:num w:numId="39">
    <w:abstractNumId w:val="22"/>
  </w:num>
  <w:num w:numId="40">
    <w:abstractNumId w:val="38"/>
  </w:num>
  <w:num w:numId="41">
    <w:abstractNumId w:val="21"/>
  </w:num>
  <w:num w:numId="42">
    <w:abstractNumId w:val="24"/>
  </w:num>
  <w:num w:numId="43">
    <w:abstractNumId w:val="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2D96"/>
    <w:rsid w:val="002C3185"/>
    <w:rsid w:val="002C50D4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7B00"/>
    <w:rsid w:val="00763C29"/>
    <w:rsid w:val="007668E1"/>
    <w:rsid w:val="007677DB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2B19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28D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0F4C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0F42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AF1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8D"/>
  </w:style>
  <w:style w:type="paragraph" w:styleId="Heading1">
    <w:name w:val="heading 1"/>
    <w:basedOn w:val="Normal"/>
    <w:next w:val="Normal"/>
    <w:link w:val="Heading1Char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A37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76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C1"/>
  </w:style>
  <w:style w:type="paragraph" w:styleId="Footer">
    <w:name w:val="footer"/>
    <w:basedOn w:val="Normal"/>
    <w:link w:val="FooterChar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C1"/>
  </w:style>
  <w:style w:type="paragraph" w:styleId="ListParagraph">
    <w:name w:val="List Paragraph"/>
    <w:basedOn w:val="Normal"/>
    <w:link w:val="ListParagraphChar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D82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864"/>
    <w:rPr>
      <w:b/>
      <w:bCs/>
      <w:sz w:val="20"/>
      <w:szCs w:val="20"/>
    </w:rPr>
  </w:style>
  <w:style w:type="paragraph" w:styleId="FootnoteText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"/>
    <w:link w:val="FootnoteTextChar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basedOn w:val="DefaultParagraphFont"/>
    <w:link w:val="FootnoteText"/>
    <w:rsid w:val="00420900"/>
    <w:rPr>
      <w:sz w:val="20"/>
      <w:szCs w:val="20"/>
    </w:rPr>
  </w:style>
  <w:style w:type="character" w:styleId="FootnoteReference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efaultParagraphFont"/>
    <w:unhideWhenUsed/>
    <w:rsid w:val="0042090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ListParagraphChar">
    <w:name w:val="List Paragraph Char"/>
    <w:link w:val="ListParagraph"/>
    <w:uiPriority w:val="34"/>
    <w:rsid w:val="00A23F33"/>
  </w:style>
  <w:style w:type="paragraph" w:styleId="PlainText">
    <w:name w:val="Plain Text"/>
    <w:basedOn w:val="Normal"/>
    <w:link w:val="PlainTextChar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Heading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5F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5F4B"/>
    <w:rPr>
      <w:vertAlign w:val="superscript"/>
    </w:rPr>
  </w:style>
  <w:style w:type="table" w:styleId="TableGrid">
    <w:name w:val="Table Grid"/>
    <w:basedOn w:val="TableNormal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TableNormal"/>
    <w:next w:val="TableGrid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FA448-E350-4A23-ABAA-0991DE67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9674</Words>
  <Characters>58045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Zach Ar</cp:lastModifiedBy>
  <cp:revision>2</cp:revision>
  <cp:lastPrinted>2020-03-13T08:23:00Z</cp:lastPrinted>
  <dcterms:created xsi:type="dcterms:W3CDTF">2020-08-30T13:53:00Z</dcterms:created>
  <dcterms:modified xsi:type="dcterms:W3CDTF">2020-08-30T13:53:00Z</dcterms:modified>
</cp:coreProperties>
</file>